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«РФП Лесозаготовка» обратилось в Арбитражный суд Хабаровского края с иском о взыскании с акционерного общества «Страховое общество газовой промышленности» 2 620 010 рублей 50 копеек страхового возмещения по договору страхования средств транспорта и гражданской ответственности от 28.08.2017 № 4217 МТ 0094.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«Сбербанк России». Решением Арбитражного суда Хабаровского края от 13.03.2020 иск удовлетворен. Постановлением Шестого арбитражного апелляционного суда от 18.06.2020 решение суда первой инстанции оставлено без изменения. Арбитражный суд Дальневосточного округа постановлением от 14.09.2020 указанные судебные акты оставил без изменения. 2 Акционерное общество «Страховое общество газовой промышленности»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рассматриваемое дорожно-транспортное происшествие страховым случаем, установив причинение ущерба в связи с конструктивной гибелью автомобиля, руководствуясь положениями статей 431, 929, 931, 942, 943 Гражданского кодекса Российской Федерации, Правилами страхования средств транспорта и гражданской ответственности ОАО «СОГАЗ», суды сделали вывод о возникновении на стороне страховщика обязанности по выплате страхового возмещения. Доводы, изложенные в кассационной жалобе, приводились при рассмотрении дела,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«Страховое общество газовой промышленности»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