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07.02.2020, оставленным без изменения постановлением Седьмого арбитражного апелляционного суда от 01.06.2020 и постановлением Арбитражного суда Западно-Сибирского округа от 19.08.2020, заявление ответчика о взыскании с истца 58 000 рублей судебных расходов удовлетворено на сумму в 43 500 рублей. В кассационной жалобе истец просит о пересмотре судебных актов, ссылаясь на необоснованность, завышение и неотносимость к рассматриваемому делу взысканных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действующей судебной практике возмещения судебных издержек. Доводы жалобы сводятся к иной оценке обстоятельств несения расходов, не создающей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Порядок»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