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31.01.2020, оставленным без изменения постановлением Девятого арбитражного апелляционного суда от 04.06.2020, в удовлетворении требований отказано. Постановлением Арбитражного суда Московского округа от 04.09.2020 указанные судебные акты оставлены без изменения. Общество в кассационной жалобе просит отменить принятые по делу судебные акты, считая их незаконными и необоснованными.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невыполнения обществом в установленный срок законного предписания Банка России. Частью 9 статьи 19.5 Кодекса Российской Федерации об административном правонарушении предусматривает административную ответственность за невыполнение в установленный срок законного предписания Банка России. Оценив представленные доказательства, руководствуясь положениями Федерального закона от 10.07.2002 № 86-ФЗ «О Центральном банке Российской Федерации (Банке России)», Указаний Банка России от 27.11.2017 № 4621-У «О формах, сроках и порядке составления и представления отчетности профессиональных участников рынка ценных бумаг, организаторов торговли, клиринговых организаций и лиц, осуществляющих функции центрального контрагента, а также другой информации в Центральный банк Российской Федерации», суды пришли к выводу о наличии в действиях общества состава правонарушения, ответственность за совершение которого 3 предусмотрена частью 9 статьи 19.5 Кодекса Российской Федерации об административном правонарушении. Суды указали,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Процедура и срок давности привлечения к ответственности соблюдены, признаков, характеризующих совершенное правонарушение как малозначительное и влекущих необходимость применения положений статьи 2.9 Кодекса Российской Федерации об административных правонарушениях, не установлено. Ссылка на неправильную квалификацию правонарушения с учетом специального статуса субъекта ответственности сама по себе не свидетельствует о наличии оснований для признания постановления о привлечении к ответственности незаконным, поскольку действия общества образуют состав административного правонарушения, предусмотренный частью 9 статьи 19.5 Кодекса, наличие противоправного деяния не оспаривается в жалобе. Переквалификация совершенного деяния с части 9 статьи 19.5 Кодекса на часть 9 статьи 15.29 Кодекса приведет к ухудшению положения заявителя, повлечет усиление назначенного наказания, что является недопустимым при обжаловании судебных актов лицом, привлеченным к административной ответственности. При этом возможность избежания административной ответственности в рассматриваемом случае приведет к получению лицом необоснованных преимуществ из своего незаконного и недобросовестного поведения.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