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03.02.2020, оставленным без изменения постановлением Пятнадцатого арбитражного апелляционного суда от 02.06.2020 и постановлением Арбитражного суда Северо-Кавказского округа от 09.09.2020, в удовлетворении иска отказано. В кассационной жалобе акционерное общество просит об отмене судебных актов, ссылаясь на несогласованность договором цены за единицу печатной продукции, уклонение ответчика от согласования цены после заключения договора и необходимость определения цены фактически оказанных услуг по правилу пункта 3 статьи 424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условия для определения цены фактически оказанных в рамках договора от 08.02.2019 № 3 услуг по правилу пункта 3 статьи 424 Гражданского кодекса Российской Федерации в связи с заключением договора на аукционе по твердой, не подлежащей изменению цене. Ответчик рассчитался за фактически оказанные до прекращения договора услуги в пределах твердой цены, поэтому основания для определения стоимости услуг экспертным путем не имелось.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непубличному акционерному обществу «Печатный двор Кубани»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