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27.05.2020, оставленным без изменения постановлением Четвертого арбитражного апелляционного суда от 06.08.2020, в иске отказано. 2 Постановлением Арбитражного суда Восточно-Сибирского округа от 21.10.2020 указанные судебные акты оставлены без изменения. В кассационной жалобе, поступившей в Верховный Суд Российской Федерации, фонд просит отменить принятые по делу судебные акты, считая их незаконными и необоснованными. При изучении изложенных в жалобе доводов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1064 Гражданского кодекса Российской Федерации, статей 11, 26.1, 28 Федерального закона от 01.04.1996 № 27-ФЗ «Об индивидуальном (персонифицированном) учете в системе обязательного пенсионного страхования», суды отказали в иске, признав недоказанным наличие причинно- следственной связи между фактом причинения убытков и действиями страхователя по предоставлению сведений индивидуального (персонифицированного) учета за ноябрь 2016 года. При этом суды указали, что на момент принятия решения о выплате сумм страховой пенсии и фиксированной выплаты к ней и распоряжения о перерасчете размера пенсии фонд располагал сведениями об осуществлении пенсионером трудовой деятельности. Указанные выводы судов в жалобе фондом не опровергнуты.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