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23.03.2020, оставленным без изменения постановлением Одиннадцатого арбитражного апелляционного суда от 18.06.2020, в удовлетворении иска отказано. Арбитражный суд Поволжского округа постановлением от 24.09.2020 решение от 23.03.2020 и постановление Одиннадцатого арбитражного апелляционного суда от 18.06.2020 оставил без изменения. В кассационной жалобе предприниматель просит об отмене судебных актов, ссылаясь на принятие недопустимых доказательств нарушения условий перевозки и отсутствие у ответчика права на зачет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первой и апелляционной инстанций признали доказанным в пределах компетенции на исследование и оценку доказательств нарушение предпринимателем согласованных условий заявки на перевозку груза и возникающим из договора от 06.06.2018 № 5732 безакцептное удержание составляющих ответственность за нарушение сумм. Доводы жалобы, связанные с доказыванием и оспариванием оценки доказательств,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Арзамаскин Виталий Иванович (подробнее) Ответчики: ООО "ТрансГруп"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