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16.12.2019, оставленным без изменения постановлением Второго арбитражного 2 апелляционного суда от 23.03.2020, иск удовлетворен частично, с общества «Эталон» в пользу учреждения взыскано 36 423,67 рубля, в том числе 20 732 рубля убытков, 15 691,67 рубль судебных издержек, в удовлетворении остальной части требований отказано. Постановлением Арбитражного суда Волго-Вятского округа от 31.08.2020 указанные судебные акты оставлены без изменения. Общество «Эталон» обратилось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Исходя из доводов жалобы, основания для ее удовлетворения отсутствуют. Оценив представленные доказательства, руководствуясь положениями статей 15, 1064, 721, 754 Гражданского кодекса Российской Федерации, суды частично удовлетворили иск, признав доказанным наличие причинно- следственной связи между действиями общества «Эталон» и причиненными истцу убытками, определив размер убытков на основании экспертного заключения. Доводы кассационной жалобы подлежат отклонению применительно к установленным судами обстоятельствам доказанности истцом выполнения обществом «Эталон» строительно-монтажных работ с отступлением от условий контракта.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