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02.03.2020, оставленным без изменения постановлением Шестого арбитражного апелляционного суда от 08.06.2020, в удовлетворении заявленных требований отказано. 2 Постановлением Арбитражного суда Дальневосточного округа от 25.08.2020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административной ответственности послужил выявленный административным органом факт нарушения обществом условий договора водопользования в части содержания в исправном состоянии эксплуатируемых сооружений при использовании водного объекта. Статьей 7.6 Кодекса Российской Федерации об административных правонарушениях предусмотрена ответственность за 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Оценив представленные доказательства, руководствуясь положениями Федерального закона от 10.01.2002 № 7-ФЗ «Об охране окружающей среды», Водного кодекса Российской Федерации, суды пришли к выводу о доказанности административным органом в действиях общества состава правонарушения, ответственность за которое предусмотрена статьей 7.6 Кодекса Российской Федерации об административных правонарушениях. Процедура и срок давности привлечения к ответственности соблюдены. Оснований для признания правонарушения малозначительным не установлено. Доводы жалобы были предметом рассмотрения судов и получили исчерпывающую правовую оценку, не согласиться с которой оснований по доводам жалобы не имеется. 3 Указанные доводы направлены на переоценку доказательств и установление иных фактических обстоятельств дела, что не свидетельствует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