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16.10.2019 спорные условия приняты в редакции ОАО «РЖД». Третий арбитражный апелляционный суд постановлением от 19.05.2020 отменил решение от 16.10.2019 и принял спорные условия в редакции предпринимателя. Арбитражный суд Восточно-Сибирского округа постановлением от 16.09.2020 отменил постановление Третьего арбитражного апелляционного суда от 19.05.2020 и оставил в силе решение от 16.10.2019. В кассационной жалобе предприниматель просит об отмене решения и постановления окружного суда, ссылаясь на неправомерность установления ежесуточной платы за пользование железнодорожным путем в отсутствие экономического обоснования платы.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жалобы не усматривается. Сбор за использование принадлежащего перевозчику железнодорожного пути необщего пользования в силу части 3 статьи 58 Федерального закона от 10.01.2003 № 18-ФЗ «Устав железнодорожного транспорта Российской Федерации» кроме платы за работу локомотива включает плату за использование пути. Таким образом, суды правомерно приняли редакцию перевозчика о взимании платы за использование пути независимо от выхода локомотива.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ОАО "РЖД" (подробнее) ОАО "Российские железные дороги" (подробнее) ОАО "Российский железные дороги"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