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05.03.2020, оставленным без изменения постановлением Пятнадцатого арбитражного апелляционного суда от 06.07.2020, заявленные требования удовлетворены. 2 Постановлением Арбитражного суда Северо-Кавказского округа от 28.09.2020 указанные судебные акты отменены, в удовлетворении требований отказано. Общество просит постановление суда округа отменить, считая его незаконным и необоснованным. При изучении доводов жалобы, дополнений к ней, и принятых по делу судебных актов оснований для удовлетворения жалобы не установлено. Отменяя решение суда первой инстанции и постановление суда апелляционной инстанции, суд округа исходил из того, что отказ общества от заключения договора о подключении объекта капитального строительства к сети газораспределения не соответствует требованиям Правил подключения объектов капитального строительства к сетям газораспределения, утвержденных постановлением Правительства Российской Федерации от 30.12.2013 № 1314, в связи с чем признал необоснованными выводы судов об отсутствии в действиях общества состава правонарушения, ответственность за совершение которого предусмотрена частью 2 статьи 9.21 Кодекса Российской Федерации об административных правонарушениях, а также недействительности представления об устранении причин и условий, способствовавших совершению административного правонарушения. Ссылка на иную судебную практику не свидетельствует о нарушении судом единообразия в толковании и применении норм материального права с учетом конкретных обстоятельств дела, связанных с исследованием обществом технической возможности для технологического присоединения объекта заявителя. Нарушений процедуры проведения проверки и привлечения к административной ответственности не выявлено. Доказательства, свидетельствующие о том, что общество предприняло все зависящие от него меры к выполнению требований действующего законодательства, либо невозможность принятия этих мер вызвана 3 чрезвычайными или иными непреодолимыми обстоятельствами, в материалы дела не представлено и судами таких обстоятельств не установлено. Доводы жалобы получили исчерпывающую правовую оценку в постановлении суда округа, в том числе, исходя из установленных судами обстоятельств, свидетельствующих о наличии газопровода низкого давления с расстоянием до объекта заявителя 120 м. Указанные обстоятельства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