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10.02.2020 прекращено производство по делу в части взыскания провозной платы в связи с отказом от этого требования, взыскан штраф. Восемнадцатый арбитражный апелляционный суд постановлением от 15.05.2020 и Арбитражный суда Уральского округа постановлением от 26.08.2020 оставили решение от 10.02.2020 без изменения. В кассационной жалобе общество «ЖБИ74» просит об отмене судебных актов, ссылаясь на игнорирование обстоятельств, смягчающих ответственность.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принятие решения в отношении уменьшения штрафа правомочен суд первой инстанции, выводы которого по этому вопросу не подлежат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«ЖБИ74»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