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29.11.2019, оставленным без изменения постановлением Восемнадцатого арбитражного апелляционного суда от 19.03.2020 и постановлением Арбитражного суда Уральского округа от 28.08.2020, в удовлетворении первоначального иска отказано, встречные исковые требования удовлетворены. В кассационной жалобе предприниматель просит о пересмотре судебных актов, ссылаясь на доказанность реального исполнения договоров и фактического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с которыми связаны доводы жалобы, не создают оснований для кассационного пересмотра судебных актов, соответствующих установленным обстоятельствам заключения договора и оказания услуг.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Ахметвалееву Ильдару Рамилевичу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