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03.03.2020 в иске отказано. Постановлением Тринадцатого арбитражного апелляционного суда от 13.07.2020, оставленным без изменения постановлением Арбитражного суда Северо-Западного округа от 07.10.2020, решение отменено, иск удовлетворен. В кассационной жалобе общество «Иртранс Восток» просит об отмене судебных актов апелляционного и окружного судов, ссылаясь на отсутствие доказательств причастности к выявленным неисправностям, игнорирование нарушения комиссионного порядка выявления недостатков и преюдиции ранее состоявшегося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Отсутствие комиссионного выявления неисправностей правомерно не принято апелляционным судом, поскольку отцепка вагонов в связи с неисправностью поставленных ответчиком аппаратов произведена сторонним лицом – АО «РЖД» и стоимость устранения недостатков этих аппаратов возмещена истцом. Отсутствие преюдиции обстоятельств ранее рассмотренного в отношении другой поставки дела обосновано окружным судом.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«Иртранс Восток»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