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20.02.2020, оставленным без изменения постановлением Восемнадцатого арбитражного апелляционного суда от 23.06.2020, в удовлетворении иска отказано. Арбитражный суд Уральского округа постановлением от 13.10.2020 решение от 20.02.2020 и постановление Восемнадцатого арбитражного апелляционного суда от 23.06.2020 оставил без изменения. В кассационной жалобе агентство просит о пересмотре судебных актов как незаконных, ссылаясь на ошибочную правовую квалификацию поручительства, неверную оценку доказательств, касающихся деятельности 2 союза, игнорирование преюдициального значения приговора по уголовному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государственных бюджетных средств в качестве источника поручительства, анализа деятельности союза при его предоставлении, поэтому признали недоказанность условий для признания поручительства ничтожным в силу статей 168 Гражданского кодекса Российской Федерации и статьи 17 Федерального закона от 24.07.2007 № 209-ФЗ «О развитии малого и среднего предпринимательства в Российской Федерации». Отсутствие условий для признания поручительства оспоримой сделкой следует из обстоятельств, установленных в ранее рассмотренном деле об исполнении поручительства.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«Инвестиционное агентство Курганской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