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21.01.2020, оставленным без изменения постановлением Третьего арбитражного апелляционного суда от 26.05.2020, исковые требования удовлетворены. Арбитражный суд Восточно-Сибирского округа постановлением от 16.09.2020 решение от 21.01.2020 и постановление Третьего арбитражного апелляционного суда от 26.05.2020 оставил без изменения. В кассационной жалобе банк просит об отмене судебных актов, ссылаясь на осуществление действий в рамках законодательства о противодействии легализации (отмывания) доходов с соблюдением рекомендаций 2 контролирующих органов и исходя из сомнительного характера операций истца.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операции, в связи с которыми оспариваются действия, неосновательно квалифицированы банком как сомнительные применительно к требованиям, предъявляемым Федеральным законом от 07.08.2001 № 115-ФЗ «О противодействии легализации (отмыванию) доходов, полученных преступным путем, и финансированию терроризма». Иная оценка банком собственных действий противоречит установленным судами обстоятельствам спорных правоотношений и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