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04.02.2020 иск удовлетворен. Постановлением Девятого арбитражного апелляционного суда от 17.06.2020, оставленным без изменения постановлением Арбитражного суда Московского округа от 02.09.2020, решение отменено, в удовлетворении иска отказано. В кассационной жалобе общество «Мехпрачечная СвЖД» просит об отмене судебных актов апелляционного и окружного судов, ссылаясь на неправильную правовую квалификацию правоотношений сторон и игнорирование недобросовестного отказа ответчика от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порядок прекращения договора от 20.04.2010 № ФПК-255/10 согласован в договоре и соблюден ответчиком, поэтому признали отказ от договора соответствующим статьям 450, 450.1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«Мехпрачечная СвЖД»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