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14.02.2020, оставленным без изменения постановлениями Седьмого арбитражного апелляционного суда от 15.05.2020 и Арбитражного суда Западно-Сибирского округа от 24.08.2020,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заявления общества антимонопольным органом возбуждено дело № 7-ФАС22-АМ/02-19 по признакам нарушения предприятием части 1 статьи 10 Федерального закона от 26.07.2006 № 135-ФЗ «О защите конкуренции» (далее – Закон о защите конкуренции), выразившегося в составлении акта от 03.12.2018 о несоответствии индивидуального узла учета тепловой энергии общества пункту 66 Правил коммерческого учета тепловой энергии, теплоносителя, утвержденных постановлением Правительства Российской Федерации от 18.11.2013 № 1034 (далее – Правила № 1034), и отказе в допуске его в эксплуатацию. Решением управления от 21.05.2019 рассмотрение дела № 7-ФАС22-АМ/02-19 прекращено в связи с отсутствием в действиях предприятия нарушения части 1 статьи 10 Закона о защите конкуренции. Не согласившись с ненормативным актом антимонопольного органа, общество обратилось в арбитражный суд с заявлением о признании его недействительным. Отказывая в удовлетворении заявления, суды трех инстанций, руководствуясь положениями части 1 статьи 10, пункта 1 части 1 статьи 48 Закона о защите конкуренции, Федерального закона от 27.07.2010 № 190-ФЗ «О теплоснабжении», Правилами организации теплоснабжения в Российской Федерации, утвержденными постановлением Правительства Российской Федерации от 08.08.2012 № 808, Правилами № 1034, с учетом правовой позиции, изложенной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пришли к выводу о законности оспариваемого решения антимонопольного органа в связи с отсутствием в действиях предприятия нарушения части 1 статьи 10 Закона о защите конкуренции. При этом судебные инстанции исходили из того, что обществом произведены реконструкция системы отопления здания и присоединение к своему узлу учета дополнительного помещения, в результате существенно увеличилась нагрузка на узел учета; при этом обществом нарушен порядок согласования изменений системы отопления с другими собственниками помещений в здании и с теплоснабжающей организацией. 3 Доказательств обращения в предприятие в порядке, предусмотренном Правилами № 1034, с заявлением на изменение (выдачу) технических условий (данная обязанность предусмотрена пунктом 4.2.13 договора № 47-Т от 01.07.2013), принятия мер по приведению в соответствие измененных условий договора техническим документам, обществом не представлено. Приведенные обществом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«ЦТО-СТАРК-ЯРОВОЕ»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