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13.09.2019, оставленным без изменения постановлениями судов апелляционной инстанции от 25.11.2019 и округа от 07.02.2020, процедура реализации имущества должника завершена; ФИО1 отказано в применении правила об освобождении от исполнения обязательств перед кредиторами. В кассационной жалобе, поданной в Верховный Суд Российской Федерации, должник просит отменить обжалуемые судебные акты в части неприменения правила об освобождении от обязательств. В силу части 2 статьи 291.14 Арбитражного процессуального кодекса Российской Федерации кассационная жалоба рассматривается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пунктов 3 - 5 статьи 213.28 Федерального закона от 26.10.2002 № 127-ФЗ «О несостоятельности (банкротстве)» (далее – Закон о банкротстве) с учетом разъяснений, изложенных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наличие исключений для освобождения должника от обязательств перед кредиторами, предусмотренных пунктом 4 статьи 213.28 Закона о банкротстве. С указанными выводами впоследствии согласился суда округа. Доводы заявителя кассационной жалобы выводы судов не опровергают, не подтверждают наличие в судебных актах в обжалуемой части существенных нарушений норм материального и (или) процессуального права, повлиявших на исход дела, не приведены, а потому основания для передачи жалобы для рассмотрения в судебном заседании отсутствуют. Руководствуясь статьями 291.6 , 291.8 ,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Gerdenix Investments Limited (подробнее) GERDЕNIX INVESTMENTS LIMITED (подробнее) Troysands Holdings Limites (подробнее) АО "Красноярская региональная энергетическая компания" (подробнее) ООО "Отель-Сервис" (подробнее) ООО "Районная теплоснабжающая компания" (подробнее) ООО "РГС Недвижимость" (подробнее) Региональный фонд капитального ремонта многоквартирных домов на территории Красноярского края (подробнее) ТРОЙСАНДС ХОЛДИНГС ЛИМИТЕД (подробнее) Ответчики: ООО "РГСН" (подробнее) Иные лица: Ассоциация НП СРО АУ Развитие (подробнее) АССОЦИАЦИЯ САМОРЕГУЛИРУЕМАЯ ОРГАНИЗАЦИЯ АРБИТРАЖНЫХ УПРАВЛЯЮЩИХ "МЕЖРЕГИОНАЛЬНЫЙ ЦЕНТР ЭКСПЕРТОВ И ПРОФЕССИОНАЛЬНЫХ УПРАВЛЯЮЩИХ" (подробнее) НП Ассоциация СРО АУ Развитие (подробнее) НП "САМРО АУ "Паритет" (подробнее) Судьи дела: Букина И.А. (судья) (подробнее) Последние документы по делу: Определение от 4 сентября 2020 г. по делу № А40-36086/2019 Определение от 10 июля 2020 г. по делу № А40-36086/2019 Определение от 14 мая 2020 г. по делу № А40-36086/2019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