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20.03.2020, принятым в порядке упрощенного производства и оставленным без изменения постановлением Десятого арбитражного апелляционного суда от 02.07.2020, в удовлетворении исковых требований отказано. Определением Арбитражного суда Московского округа от 14.09.2020, оставленным без изменения определением того же суда от 12.10.2020, кассационная жалоба предпринимателя возвращена в связи с пропуском срока на кассационное обжалование и отсутствием ходатайства о восстановлении срока. В кассационной жалобе предприниматель просит отменить определения окружного суда, ссылаясь на начало течения срока на обжалование с 03.07.2020 и своевременную подачу 03.09.2020 жалобы.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Доводы заявитель противоречат правилу определения окончания срока на обжалование судебных актов, примененному окружным судом в силу статьи 114 Арбитражного процессуального кодекса Российской Федерации и указывающему на нарушение срока подачи жалобы.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Сутидзе Дмитрию Владиславовичу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