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«Колмогор-Авто» обратилось в Арбитражный суд Воронежской области с иском, уточненным в порядке статьи 49 Арбитражного процессуального кодекса Российской Федерации, о взыскании с общества с ограниченной ответственностью «Проминвест» 250 000 рублей стоимости восстановительного ремонта и 20 989 рублей 73 копеек процентов за пользование чужими денежными средствами. Судом принят встречный иск общества с ограниченной ответственностью «Проминвест» о взыскании с общества с ограниченной ответственностью «Колмогор-Авто» 50 000 рублей ущерба. К участию в деле в качестве третьих лиц, не заявляющих самостоятельных требований относительно предмета спора, привлечены общество с ограниченной ответственностью «Балтийский лизинг», общество с ограниченной ответственностью «ПартнерТрансСервис». Решением Арбитражного суда Воронежской области от 31.12.2019 в удовлетворении первоначального иска отказано, встречный иск оставлен без рассмотрения. 2 Постановлением Девятнадцатого арбитражного апелляционного суда от 08.06.2020 решение суда первой инстанции оставлено без изменения. Арбитражный суд Центрального округа постановлением от 05.10.2020 указанные судебные акты отменил в части отказа в удовлетворении первоначального иска и направил дело в указанной части на новое рассмотрение в Арбитражный суд Воронежской области; в остальной части судебные акты оставил без изменения. Общество с ограниченной ответственностью «Проминвест» обратилось в Судебную коллегию по экономическим спорам Верховного Суда Российской Федерации в порядке, предусмотренном статьями 291.1-291.3 Арбитражного процессуального кодекса Российской Федерации, с кассационной жалобой на постановление суда округа в части отмены судебных актов и направления дела на новое рассмотрение,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жалобы, изученным по материалам, приложенным к ней, не установлено. Отменяя в части принятые по делу судебные акты и направляя дело в этой части на новое рассмотрение в арбитражный суд первой инстанции для установления обстоятельств, имеющих значение для правильного рассмотрения дела, а также полного и всестороннего исследования и оценки представленных по делу доказательств, с учетом доводов и возражений лиц, участвующих в деле, окружной суд действовал в пределах полномочий, предусмотренных статьями 287, 288 Арбитражного процессуального кодекса Российской Федерации. Нарушений судом округа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интересов, не выявлено. 3 Заявитель не лишен возможности изложить свои доводы, приведенные в жалобе, при новом рассмотрении дела.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«Проминвест»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