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10.12.2020 направило в Верховный Суд Российской Федерации кассационную жалобу на указанные судебные акты и одновременно заявило ходатайство о восстановлении пропущенного срока на ее подачу.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силу части 2 статьи 117 Кодекса арбитражный суд восстанавливает пропущенный процессуальный срок, если признает причины пропуска уважительными. Принимая во внимание положения части 3 статьи 291.5 Арбитражного процессуального кодекса Российской Федерации, согласно которым возвращение кассационной жалобы не препятствует повторному обращению с кассационной жалобой после устранения обстоятельств, послуживших основанием для ее возвращения, учитывая своевременное направление первоначальной жалобы, а также оперативное устранение заявителем причин, послуживших основанием для возврата первоначально поданной жалобы, в целях обеспечения процессуальных гарантий, вытекающих из права на судебную защиту, включающего и право на обжалование судебных постановлений, ходатайство о восстановлении срока подлежит удовлетворению, пропущенный срок подлежит восстановлению.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«Группа копаний «ЕКС» о восстановлении пропущенного срока удовлетворить, срок на подачу кассационной жалобы восстановить. Судья Верховного Суда А.Г. Першутов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