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обратилось в суд с заявлением об установлении и включении в реестр требований кредиторов должника задолженности в сумме 892 317 349 рублей 14 копеек. Определением Арбитражного суда Оренбургской области от 20.01.2020 требование общества в сумме 491 268 775 рублей 16 копеек – основной долг и 400 928 573 рублей 98 копеек – проценты признано обоснованным и включено в третью очередь реестра требований кредиторов должника, прекращено производство по рассмотрению требования кредитора в сумме 120 000 рублей. Постановлением Восемнадцатого арбитражного апелляционного суда от 30.06.2020, оставленным без изменения постановлением Арбитражного суда Уральского округа от 28.09.2020, изменено определение суда первой инстанции от 20.01.2020, указанные требования общества признаны подлежащим удовлетворению после погашения требований, указанных в пункте 4 статьи 142 Федерального закона от 26.10.2002 № 127-ФЗ «О несостоятельности (банкротстве)» (далее – Закон о банкротстве), но приоритетно по отношению к требованиям лиц, получившим имущество должника по правилам пункта 1 статьи 148 Закона о банкротстве и пункта 8 статьи 63 Гражданского кодекса Российской Федерации (очередность предшествующая распределению ликвидационной квоты). 2 В кассационной жалобе, поданной в Верховный Суд Российской Федерации, заявитель просит отменить указанные постановления судов апелляционной инстанции и округа, оставить в силе определение суда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апелляционный суд,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142 и 148 Закона о банкротстве, установив, что требования возникло из сделок, заключенных заинтересованными лицами в ситуации имущественного кризиса должника, пришёл к выводу о необходимости понижения очерёдности требований общества, указав на отсутствие доказательств целесообразности заключения договоров поручительства. Суд округа согласился с выводами апелляционного суда.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апелляционной инстанции и округа не допущено. Несогласие заявителя с выводами судов апелляционной инстанции и округа,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«Верштаг»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