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корпорация обратилась в суд с заявлением о признании должника несостоятельным (банкротом). Определением Арбитражного суда Свердловской области от 18.05.2020, оставленным без изменения постановлениями Семнадцатого арбитражного апелляционного суда от 05.07.2020 и Арбитражного суда Уральского округа от 24.08.2020, заявление возвращено. В кассационной жалобе, поданной в Верховный Суд Российской Федерации, заявитель просит отменить названные судебные акты, направить вопрос о принятии заявления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Возвращая заявление,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9.1 Федерального закона от 26.10.2002 № 127-ФЗ «О несостоятельности (банкротстве)», исходил из того, что в отношении должника, входящего в холдинг акционерного общества «Евроцемент групп», распространяется мораторий на возбуждение дела о банкротстве.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судов и получили надлежащую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государственной корпорации развития «ВЭБ.РФ»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