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Никифоров А.С. обратился в суд с заявлением о взыскании с бывшего директора должника Князева А.Н. 5 703 300 рублей убытков. Определением Арбитражного суда Краснодарского края от 13.03.2020, оставленным без изменения постановлениями Пятнадцатого арбитражного апелляционного суда от 13.06.2020 и Арбитражного суда Северо-Кавказского округа от 27.08.2020, требования удовлетворены частично, с Князева А.Н. в пользу должника взыскано 5 421 500 рублей убытков, отказано в удовлетворении остальной части заявления. В кассационной жалобе, поданной в Верховный Суд Российской Федерации, заявитель просит отменить указанные судебные акты, принять новый судебный акт. Исходя из содержания настоящей жалобы, заявитель не согласен с указанными судебными актами в части удовлетворения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15, 53 и 53.1 Гражданского кодекса Российской Федерации, установив причинно-следственную связь между необоснованными действиям Князева А.Н. как директора должника по получению денежных средств в размере 5 421 500 рублей и убытками на стороне должника в указанном размере, пришли к выводу об обоснованности требований, указав на отсутствие доказательств целевого расходования указанных средств на нужды должника.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Князеву Андрею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