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21.01.2020, оставленным без изменения постановлением Четвертого арбитражного апелляционного суда от 25.06.2020 и постановлением Арбитражного суда Восточно-Сибирского округа от 15.09.2020, взыскано 200 000 рублей штрафа. В кассационной жалобе общество «Негоциант» просит об отмене судебных актов, ссылаясь на немотивированное уменьшение штрафа, противоречащее содержанию правоотношений сторон.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не установивший наличия доказательств негативных имущественных последствий для истца вследствие просрочки оплаты товара, в частности связанных со спецификой продажи приобретенного на бирже товара, на которую указывает заявитель, в соответствии с правомочиями и критериями, определенными статьей 333 Гражданского кодекса Российской Федерации, мотивированно уменьшил неустойку. Компетенция суда первой инстанции на применение названной нормы не подлежит пересмотру на стадии кассационного производства.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«Негоциант»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