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постановлением Девятого арбитражного апелляционного суда от 30.05.2019, оставленным без изменения постановлением Арбитражного суда Московского округа от 07.08.2019, признаны недействительными сделками договор перевода долга от 12.03.2015 № ПИ-1 и договор о переводе дола от 11.03.2015 № ПС-1, применены последствия недействительности. Впоследствии Курбанов А.А. обратился в Девятый арбитражный суд с заявлением о пересмотре вышеуказанного постановления Девятого арбитражного апелляционного суда от 30.05.2019 по новым обстоятельствам. Определением Девятого арбитражного апелляционного суда от 10.07.2020, оставленным без изменения постановлением Арбитражного суда Московского округа от 09.10.2020, отказано в удовлетворении заявления о пересмотре. В кассационной жалобе, поданной в Верховный Суд Российской Федерации, заявитель просит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части 3 статьи 311 Арбитражного процессуального кодекса Российской Федерации, исходил из того, что представленные заявителем сведения не могут служить основанием для пересмотра судебного акта по новым обстоятельствам. Суд округа согласились с выводами апелляционного суда.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Курбанову Алты Алланазаровичу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