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03.03.2020, оставленным без изменения постановлением Семнадцатого арбитражного апелляционного суда от 01.06.2020, исковые требования удовлетворены в части признания незаконными действий (бездействия) банка, выразившихся в неисполнении платежных поручений от 04.09.2018 № 9 и № 10, на банк возложена обязанность исполнить платежное поручение от 04.09.2018 № 9, возобновить полное обслуживание банковского счета, проведение кассовых расчетных операций по счету и дистанционный доступ к системе «Банк-Клиент». Арбитражный суд Уральского округа постановлением от 31.08.2020 решение от 03.03.2020 и постановление Семнадцатого арбитражного апелляционного суда от 01.06.2020 оставил без изменения. В кассационной жалобе банк просит об отмене судебных актов, ссылаясь на осуществление оспариваемых действий в рамках закона 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Руководствуясь статьями 845 , 848 , 849 , 858 Гражданского кодекса Российской Федерации, нормами Федерального закона от 07.08.2001 № 115-ФЗ «О противодействии легализации (отмыванию) доходов, полученных преступным путем, и финансированию терроризма», суды не установили обстоятельств, позволяющих банку отказать в исполнении платежных поручений и в одностороннем порядке прекратить проведение кассовых расчетных операций по счету и дистанционный доступ к системе «Банк-Клиент». Иная оценка банком собственных действий противоречит установленным обстоятельствам спорных правоотношений.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«Уральский банк реконструкции и развития»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Межрегиональное управление Федеральной службы по финансовому мониторингу по Уральскому Федеральному округу (подробнее) ООО СтройИнжиниринг (подробнее) Ответчики: ПАО "Уральский банк реконструкции и развития"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