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28.02.2020, оставленным без изменения постановлением Семнадцатого арбитражного апелляционного суда от 11.06.2020 и постановлением Арбитражного суда Уральского округа от 24.08.2020, взыскано 26 000 рублей судебных расходов, во взыскании заявленных 120 000 рублей за хранение имущества оказано. В кассационной жалобе общество просит об отмене судебных актов в отношении расходов на хранение, ссылаясь на несение их в связи с рассмотрением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Компетенция суда первой инстанции на установление связи заявленных расходов на хранение имущества как критерия, необходимого в силу статьи 106 Арбитражного процессуального кодекса российской Федерации для отнесения таких расходов к судебным издержкам,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«БВБ-Альянс-Тюмень»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