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16.12.2019, оставленным без изменения постановлением Одиннадцатого арбитражного апелляционного суда от 25.06.2020 и постановлением Арбитражного суда Поволжского округа от 24.09.2020, иск удовлетворен. В кассационной жалобе общество «Синергия Нефтегаз» просит о пересмотре судебных актов, ссылаясь на отсутствие обязанности уплачивать проценты до наступления осведомленности о неправомерном удержании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395 Гражданского кодекса Российской Федерации проценты уплачиваются по факту пользования денежными средствами, имевшему место с установленного судом направления истцом отказа от договора и выдвижения требования о возврате оплаченных за некачественный товар денежных средств до их фактического возврата, – период, за который предъявлен рассматриваемый иск.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«Синергия 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