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задолженности в размере 2 874 400 рублей. Определением Арбитражного суда Костромской области от 13.04.2020, оставленным без изменения постановлением Второго арбитражного апелляционного суда от 26.06.2020, заявление удовлетворено в части. Признаны обоснованными требования на сумму 1 274 400 рублей с включением их в состав требований, подлежащих удовлетворению в очередности, предшествующей распределению ликвидационной квоты; в удовлетворении остальной части требований отказано. Постановлением Арбитражного суда Волго-Вятского округа от 23.09.2020 вышеуказанные судебные акты отменены в части отказа во включении в реестр требований общества на сумму 1 600 000 рублей задолженности, возникшей на основании договора уступки прав требования от 04.10.2016, в отменённой части обособленный спор направлен на новое рассмотрение в Арбитражный суд Костромской области. В остальной части определение суда первой инстанции от 13.04.2020 и постановление апелляционного суда от 26.06.2020 оставлены без изменения. 2 В кассационной жалобе, поданной в Верховный Суд Российской Федерации, заявитель просит отменить указанные судебные акты в части включения в реестр его требований, подлежащих удовлетворению в очерёдности, предшествующей распределению ликвидационной квоты.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 и понижая очерёдность удовлетворения требования общества, суд первой инстанции руководствовался статьями 2, 71, 100, 142 Федерального закона от 26.10.2002 № 127-ФЗ «О несостоятельности (банкротстве)» и исходил из того, что оно основано на заёмных сделках, заключенных заинтересованными лицами на нерыночных и не доступных обычным независимым кредиторам условиях, носит корпоративный характер и подлежит удовлетворению в очерёдности, предшествующей распределению ликвидационной квоты.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«Авто-Плаза-Люкс»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