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01.07.2019, оставленным без изменения постановлением Девятого арбитражного апелляционного суда от 11.09.2019, исковые требования удовлетворены. Общество с ограниченной ответственностью «НПО «Квант», ссылаясь на пункт 24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подало апелляционную жалобу на решение от 01.07.2019. Постановлением Девятого арбитражного апелляционного суда от 22.06.2020 решение оставлено без изменения. Постановлением Арбитражного суда Московского округа от 07.09.2020 постановление апелляционного суда от 22.06.2020 отменено, дело направлено на новое рассмотрение в Девятый арбитражный апелляционный суд. В кассационной жалобе общество «Вест» просит отменить постановление окружного суда, ссылаясь на недобросовестность общества «НПО «Квант». 2 Согласно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Окружной суд установил рассмотрение апелляционным судом дела без учета особенностей, связанных с ведением в отношении ответчика процедур банкротства и влияния спорного требования на права участников таких процедур, в связи с чем в пределах предоставленных статьями 286, 287 Арбитражного процессуального кодекса Российской Федерации для устранения допущенных несоответствий признал необходимость нового рассмотрения дела этим судом.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«Вест»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