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Арбитражный суд города Москвы с иском к акционерному обществу «Белуга Проджектс Лоджистик» о взыскании 14 009 249 руб. 35 коп. убытков и 120 709 руб. 83 коп. процентов за пользование чужими денежными средствами. Решением Арбитражного суда города Москвы от 17.11.2017, оставленным без изменения постановлением Девятого арбитражного апелляционного суда от 26.03.2018 и постановлением Арбитражного суда Московского округа от 30.07.2018, в удовлетворении иска отказано. Общество обратилось в арбитражный суд с заявлением о пересмотре решения суда первой инстанции от 17.11.2017 по вновь открывшимся обстоятельствам. Определением Арбитражного суда города Москвы от 24.01.2020, оставленным без изменения постановлением Девятого арбитражного апелляционного суда от 18.06.2020 и постановлением Арбитражного суда Московского округа от 18.08.2020, в удовлетворении заявления отказано. В кассационной жалобе, поданной в Верховный Суд Российской Федерации, общество просит отменить указанные судебные акты, ссылаясь на их незаконность.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доводов кассационной жалобы и обжалуемых судебных актов не установлено. Отказывая в удовлетворении заявления общества, суд первой инстанции, с которым впоследствии согласились суды апелляционной инстанции и округа, руководствовался положениями статей 309, 311 Арбитражного процессуального кодекса Российской Федерации, разъяснениями, приведенными в постановлении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 исходил из того, что обстоятельства, на которые ссылается заявитель, не могут быть признаны вновь открывшимися обстоятельствами и не являются основанием для пересмотра судебного акта по правилам, предусмотренным главой 37 Арбитражного процессуального кодекса Российской Федерации. Доводы кассационной жалобы не подтверждают существенных нарушений судами норм права, которые повлияли на исход дела и могли бы служить основанием для отмены обжалуемых судебных актов в соответствии с пунктом 1 статьи 291.11 Арбитражного процессуального кодекса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«РД-Логистик»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