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09.12.2019, оставленным без изменения постановлением Тринадцатого арбитражного апелляционного суда от 23.03.2020 и постановлением Арбитражного суда Северо-Западного округа от 17.08.2020, с компании в пользу общества взыскано 66 920 руб. 24 коп. неустойки, в удовлетворении остальной части первоначальных требований отказано; встречный иск удовлетворен в полном объеме; произведен зачет удовлетворенных требований. 2 В кассационной жалобе, поданной в Верховный Суд Российской Федерации, общество, ссылаясь на нарушение судами норм права, просит отменить указанные судебные акты и направить дело на новое рассмотрение в суд первой инстанции в ином составе судей.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Как следует из судебных актов, предъявленные взаимные требования общества (субподрядчика) и компании (подрядчика) основаны на договоре подряда от 12.09.2018 № DР2018-0419 (в редакции дополнительного соглашения), по условиям которого субподрядчик обязался выполнить работы на объекте, а подрядчик – принять и оплатить результат работ. Исследовав и оценив по правилам статьи 71 Арбитражного процессуального кодекса Российской Федерации представленные в материалы дела доказательства, установив, что обязательства компании по уплате 300 645 руб. 73 коп. прекратились путем зачета встречного требования, признав мотивированным отказ компании от приемки работ на сумму 2 550 580 руб. 30 коп. по актам выполненных работ от 25.03.2019 и подтвержденным факт нарушения обществом сроков выполнения работ по договору, руководствуясь статьями 309, 310, 410, 702, 711, 753 Гражданского кодекса Российской Федерации, разъяснениями, изложенными в пунктах 2, 8, 14 информационного письма от 24.01.2000 № 51 «Обзор практики разрешения споров по договору строительного подряда», суды первой и апелляционной инстанций пришли к выводу об отсутствии оснований для удовлетворения требования первоначального иска о взыскании задолженности и обоснованности встречного требования о взыскании неустойки. С указанными выводами впоследствии согласился суд округа. Доводы заявителя, в том числе о необоснованном отказе в назначении судебной экспертизы, немотивированном отказе компании от приемки работ, были предметом рассмотрения судов и получили правовую оценку. Доводы кассационной жалобы не опровергают выводы судов, не свидетельствуют о существенном нарушении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3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«Альфателекомстрой»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