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13.12.2019, оставленным без изменения постановлением Первого арбитражного апелляционного суда от 13.03.2020 и постановлением Арбитражного суда Волго-Вятского округа от 19.08.2020,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несоответствие их выводов фактическим обстоятельствам дела, просит отменить указанные судебные акты и принять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16, 393, 1064, 1069 Гражданского кодекса Российской Федерации, статьей 24.1 Федерального закона от 24.06.1998 № 89-ФЗ «Об отходах производства и потребления», постановлением Правительства Российской Федерации от 12.08.1994 № 938 «О государственной регистрации автомототранспортных средств и других видов самоходной техники на территории Российской Федерации», постановлением Правительства Российской Федерации от 06.02.2016 № 81 «Об утилизационном сборе в отношении самоходных машин и (или) прицепов к ним и о внесении изменений в некоторые акты Правительства Российской Федерации», пришли к выводу о недоказанности истцом наличия совокупности условий, необходимых для взыскания с ответчика убытков. В обжалуемых судебных актах приведено подробное обоснование выводов, сделанных судами при рассмотрении дела.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«Клинские земли»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