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«Евробитум» обратилось в Арбитражный суд города Москвы с иском о взыскании с общества с ограниченной ответственностью «Феско Интегрированный Транспорт» 36 359 960 рублей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«Альбатрос-Сервис». Решением Арбитражного суда города Москвы от 04.10.2019 в удовлетворении иска отказано. Постановлением Девятого арбитражного апелляционного суда от 04.02.2020 решение суда первой инстанции оставлено без изменения. Арбитражный суд Московского округа постановлением от 09.09.2020 указанные судебные акты оставил без изменения. Общество с ограниченной ответственностью «Евробитум»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В представленном на кассационную жалобу отзыве общество с ограниченной ответственностью «Феско Интегрированный Транспорт»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Отказывая в удовлетворении иска, суды руководствовались положениями статей 15, 393 Гражданского кодекса Российской Федерации и исходили из отсутствия достоверных, достаточных и бесспорных доказательств наличия причинной связи между несвоевременной выдачей груза ответчиком и возникшими у истца убытками и невозможности реализации товара по стоимости, указанной в товарных накладных.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«Евробитум»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