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просит об отсрочке уплаты государственной пошлины в связи с отсутствием денежных средств.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Суд счел ходатайство подлежащим удовлетворению исходя из ведения в отношении заявителя процедур в рамках дела о банкротстве.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«Кристалл-групп»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 Суд: Верховный Суд РФ (подробнее) Истцы: ООО Конкурсный управляющий "Кристалл-групп" Каряпкина Юлия Дмитриевна (подробнее) ООО "Кристалл-Групп" (подробнее) Ответчики: ООО "Евразия" (подробнее) Иные лица: 12 Арбитражный Апелляционный Суд (подробнее) Арбитражный суд Астраханской области (подробнее) Арбитражный суд Поволжского округа (подробнее) ИФНС по Кировскому району г. Астрахани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