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17.03.2020, оставленным без изменения постановлением Девятого арбитражного апелляционного суда от 16.07.2020, в иске отказано. 2 Постановлением Арбитражного суда Московского округа от 06.10.2020 указанные судебные акты оставлены без изменения. Истец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признав недоказанным факт ненадлежащего исполнения ответчиком принятых по контракту обязательств и завышение их оплаты.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