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Курской области от 10.03.2020, оставленным без изменения постановлением Девятнадцатого арбитражного апелляционного суда от 16.06.2020, иск удовлетворен за счет предприятия. Арбитражный суд Центрального округа постановлением от 02.09.2020 решение от 10.03.2020 и постановление Девятнадцатого арбитражного апелляционного суда от 16.06.2020 оставил без изменения. В кассационной жалобе предприятие просит об отмене судебных актов, ссылаясь на непричастность к заявленным убыткам, принятие ненадлежащего доказательства о причине возникновения убытков и применение утратившего силу нормативно-правового акта.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Условия, необходимые для взыскания убытков, следуют из статей 15, 1064 Гражданского кодекса Российской Федерации и наличие их в отношении предприятия установлено судами. Иная оценка предприятием обстоятельств возникновения убытков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«Водоканал города Курска»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