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19.02.2020, оставленным без изменения постановлением Семнадцатого арбитражного апелляционного суда от 16.07.2020, ответчику восстановлен пропущенный срок для подачи заявления о возмещении судебных расходов, его требования удовлетворены частично. Постановлением Арбитражного суда Уральского округа от 21.09.2020 решение и постановление апелляционного суда отменены, дело направлено на новое рассмотрение в суд первой инстанции. В кассационной жалобе общество «РМНТК-Термические системы» просит отменить постановление окружного суда в связи с существенными процессуальными нарушениями.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необходимые для разрешения вопроса о взыскании судебных расходов обстоятельства, в связи с чем для устранения выявленных несоответствий и в пределах предоставленных статьями 286, 287 Арбитражного процессуального кодекса Российской Федерации полномочий направил дело на новое рассмотрение.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«РМНТК-Термические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