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19.02.2020, оставленным без изменения постановлением Десятого арбитражного апелляционного суда от 11.06.2020, в удовлетворении заявления отказано в связи с признанием правонарушения малозначительным. 2 Постановлением Арбитражного суда Московского округа от 21.09.2020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в нарушение пункта 4 статьи 20.3, пункта 1 статьи 133, пункта 2 статьи 143 Федерального закона от 26.10.2002 № 127-ФЗ «О несостоятельности (банкротстве)» в отчете арбитражного управляющего отсутствуют обязательные разделы, не отражена информация о закрытии счетов, суды пришли к выводу о доказанности административным органом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правонарушениях, однако, признав совершенное правонарушение малозначительным, освободили его от административной ответственности на основании статьи 2.9 указанного Кодекса. Процедура и срок давности привлечения к административной ответственности соблюдены.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управляющего, который обязан действовать добросовестно и разумно в интересах должника и кредиторов.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