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31.01.2020 иск удовлетворен. Постановлением Первого арбитражного апелляционного суда от 10.07.2020 решение отменено, в иске отказано. Постановлением Арбитражного суда Волго-Вятского округа от 02.10.2020 постановление апелляционного суда отменено как основанное на дополнительно представленных доказательствах, в исследовании которых не участвовала другая сторона, и дело направлено на новое рассмотрение в суд апелляционной инстанции. В кассационной жалобе общество «СТК Энергия» просит отменить постановление окружного суда, ссылаясь на невозможное представление доказательств в суд первой инстанции в связи с неполучением претензии истца и судебного извещения и неосновательность заявления истца о фальсификации представленных доказательств.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существенное нарушение апелляционным судом норм процессуального права, для устранения которого в пределах имеющихся в силу статьей 286-288 Арбитражного процессуального кодекса Российской Федерации полномочий направил этому суду дело на новое рассмотрение.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«СТК 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