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13.12.2019 в удовлетворении иска отказано. Девятый арбитражный апелляционный суд постановлением от 26.06.2020 отменил решение от 13.12.2019 и взыскал с банка 16 905 775 рублей 56 копеек неосновательного обогащения и 469 424 рубля 75 копеек процентов. Арбитражный суд Московского округа постановлением от 11.09.2020 постановление Девятого арбитражного апелляционного суда от 26.06.2020 оставил без изменения. В кассационной жалобе банк просит об отмене судебных актов апелляционного и окружного судов, ссылаясь на удержание спорной суммы в соответствии с условиями договора и необоснованное признание злоупотребления правами.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Правомочия суда на усмотрение в действиях банка, связанных с проведением спорной расчетной операции, недобросовестности по отношению к клиенту (истцу) и применение соответствующих последствий основаны на статье 10 Гражданского кодекса Российской Федерации. Доводы об оспаривании таких правомочий не создают обозначенных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