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11.03.2020, оставленным без изменения постановлением Пятнадцатого арбитражного апелляционного суда от 09.06.2020 и постановлением Арбитражного суда Северо-Кавказского округа от 14.09.2020, в удовлетворении заявленного требования отказано. 2 В кассационной жалобе, поданной в Верховный Суд Российской Федерации, предприятие,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прокуратурой проведена проверка деятельности предприятия и установлено, что им заключены договоры оказания услуг и передано по указанным договорам имущество без согласия собственника - Российской Федерации в лице агентства. В связи с выявленными нарушениями прокуратурой вынесено представление о принятии мер, направленных на их устранение, рассмотрении вопроса о привлечении виновных должностных лиц к дисциплинарной ответственности. Несогласие с представлением прокуратуры послужило основанием для обращения предприятия в арбитражный суд. Отказывая в удовлетворении заявленного требования, суды первой и апелляционной инстанций, исследовав и оценив представленные в материалы дела доказательства, руководствуясь положениями Гражданского кодекса Российской Федерации, Положением о Федеральном агентстве морского и речного транспорта, утвержденным постановлением Правительства Российской Федерации от 23.07.2004 № 371, пришли к выводу о том, что оспариваемое представление не противоречит действующему законодательству и не нарушает права и законные интересы предприятия в сфере предпринимательской и иной экономической деятельности. Судебные инстанции исходили из того, что предметом рассматриваемых договоров являлось предоставление предприятием за плату участков причальной стенки в морском порту Туапсе для стоянки судов, размещение оборудования заказчиков на территории объекта «Базовая станция Глобальной 3 системы связи» и линейно-кабельных сооружений заказчика в кабельных канализациях связи. Как указали суды, заключение договоров необходимо было согласовать с агентством, поскольку исполнение таких договоров без предоставления права пользования имуществом невозможно. Росморречфлот как федеральный орган осуществляет полномочия собственника в отношении имущества, закрепленного за федеральными унитарными предприятиями, находящимися в его ведении и расположенного в границах морских портов. Доводы, изложенные в кассационной жалобе, в том числе о том, что цены по договорам не превышают 5 миллионов рублей, срок действия договоров на дату вынесения представления истек, отсутствуют претензии со стороны агентства, повторяют позицию предприятия по спору, которая являлась предметом рассмотрения судов и получила надлежащую правовую оценку, не опровергают выводы судов, не свидетельствуют о существенном нарушении норм материального и процессуального права, повлиявшем на исход дела, направлены на переоценку фактических обстоятельств по делу, что не может быть признано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«Росморпорт»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