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06.03.2020, оставленным без изменения постановлениями Первого арбитражного апелляционного суда от 22.06.2020 и Арбитражного суда Волго-Вятского округа от 25.09.2020, заявленные требования удовлетворены. В жалобе комитет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учреждению выданы долгосрочные лицензии на пользование объектами животного мира серии О № 0002130 от 02.10.2007 (в административных границах Кстовского района Нижегородской области общей площадью 77 806 гектаров; сроком до 17.09.2027) и серии 52 № 0000041 от 03.03.2009 (на территории Кстовского муниципального района общей площадью 42 947 гектаров; сроком до 03.03.2029) на основании распоряжений Правительства Нижегородской области от 11.07.2007 № 945-р и от 12.02.2009 № 256-р. Комитетом в адрес учреждения направлено уведомление от 20.08.2019 № Исх-526-220827/19 о прекращении права пользования объектами животного мира на основании пункта 9 статьи 71 Федерального закона от 24.07.2009 № 209-ФЗ «Об охоте и о сохранении охотничьих ресурсов и о внесении изменений в отдельные законодательные акты Российской Федерации» (далее – Закон об охоте), с указанием на необходимость в кратчайшие сроки вернуть полученные ранее и неиспользованные бланки разрешений на добычу объектов животного мира. Полагая, что действия комитета и решение, изложенное в письме от 20.08.2019 № Исх-526-220827/19, не соответствуют нормам действующего законодательства и нарушают его права и законные интересы в сфере экономической деятельности, учреждение обратилось в арбитражный суд. Оценив представленные в материалы дела доказательства по правилам статьи 71 Арбитражного процессуального кодекса Российской Федерации, суды, руководствуясь положениями Закона об охоте, Федерального закона от 24.04.1995 № 52-ФЗ «О животном мире», правовой позицией Конституционного Суда Российской Федерации, изложенной в пункте 4.1 постановления от 25.06.2015 №17-П, определении от 28.06.2012 № 1257-О, пришли к выводу о том, что оспариваемый акт комитета и действия по его направлению не соответствуют положениям Закона об охоте, нарушают права заявителя в сфере осуществления экономической охотхозяйственной деятельности. Судебные инстанции исходили из того, что по долгосрочным лицензиям учреждению предоставлены охотничьи угодья в границах нескольких муниципальных образований, при этом площадь этих угодий в границах 3 каждого муниципального образования не превышает максимальной площади охотничьих угодий, установленной законом.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Несогласие заявителя с выводами суда,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охране, использованию и воспроизводству объектов животного мира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