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декабря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Анализ нормы</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податель жалобы просит об отсрочке уплаты государственной пошлины, представляя справку обслуживающего банка о состоянии счета, принадлежность которого подтверждает сведениями налогового органа. Согласно статье 102 Арбитражного процессуального кодекса Российской Федерации и пункту 2 статьи 333.22 Налогового кодекса Российской предоставление отсрочки уплаты государственной пошлины производится арбитражным судом исходя из имущественного положения плательщика. Суд счел ходатайство подлежащим удовлетворению. Руководствуясь статьей 184 Арбитражного процессуального кодекса Российской Федерации, статьей 333.22 Налогового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предоставить обществу с ограниченной ответственностью «АС Лойер» отсрочку уплаты государственной пошлины до окончания производства по поданной им кассационной жалобе. Судья Верховного Суда Российской Федерации Н.А. Ксенофонтова 2</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