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Санкт-Петербурга и Ленинградской области от 05.03.2020, оставленным без изменения постановлением Тринадцатого арбитражного апелляционного суда от 30.06.2020 и постановлением Арбитражного суда Северо-Западного округа от 24.09.2020, в удовлетворении исковых требований отказано. 2 В кассационной жалобе, поданной в Верховный Суд Российской Федерации, общество, ссылаясь на существенное нарушение судами норм права, просит отменить судебные акты.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установлено судами, между обществом и учреждением по результатам проведения электронного аукциона заключен контракт № 0372100037119000068 103414 от 05.06.2019 По условиям контракта общество (поставщик) обязалось поставить учреждению (заказчику) серверное оборудование согласно спецификации (приложение № 1 к контракту) и сведениям о технических и функциональных характеристиках товара (приложение № 2 к контракту), а заказчик обязался принять и оплатить поставленный товар. Полагая, что поставщик ненадлежащим образом исполнил обязательства по поставке товара, поскольку при приемке товара заказчик установил отсутствие сертификатов и иных документов, неправильное оформление документов, несоответствие товара условиям Приложения № 1, 2 к контракту, заказчик принял решение от 05.11.2019 об отказе в одностороннем порядке от исполнения контракта. Не согласившись с указанным решением, полагая положения Приложения № 2 к контракту незаконными, общество обратилось в арбитражный суд. Рассматривая спор, суды первой и апелляционной инстанций, исследовав и оценив представленные в материалы дела доказательства, руководствуясь положениями Гражданского кодека Российской Федерации,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учитывая установленные судебными актами по делу № А56-68985/2019 3 обстоятельства, подтверждающие факты предоставления поставщиком сертификатов на оборудование, не соответствующих заявленному в спецификации к контракту, отсутствия документов, предусмотренных пунктами 4.6 и 4.7 контракта, поставки товара, который по своим характеристикам не соответствует заявленному к поставке в контракте, пришли к выводу об отсутствии оснований для удовлетворения требований общества. Доводы общества, изложенные в кассационной жалобе, являлись предметом рассмотрения судов, не опровергают их выводов, не подтверждают существенных нарушений норм материального права и норм процессуального права, повлиявших на исход дела, направлены на переоценку установленных обстоятельств, в связи с чем не могут служить достаточным основанием для пересмотра судебных актов в кассационном порядке. Учитывая изложенное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«Альфа»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