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28.01.2020, оставленным без изменения постановлением Тринадцатого арбитражного апелляционного суда от 04.06.2020, первоначальный иск удовлетворен в части взыскания 500 000 рублей неустойки, встречный иск удовлетворен в части взыскания 793 670,44 рублей задолженности по оплате работ, 77 758 рублей неустойки за нарушение сроков выполнения работ за период с 20.08.2018 по 07.10.2019, неустойки за просрочку исполнения обязательства по оплате работ начиная с 08.10.2019 по дату фактического исполнения обязательства из расчета 1/300 ставки рефинансирования Банка России за каждый день просрочки, в остальной части в удовлетворении первоначального и встречного исков отказано, в результате зачета с фонда в пользу общества взыскано 389 914,44 рублей. Постановлением Арбитражного суда Северо-Западного округа от 22.09.2020 указанные судебные акты оставлены без изменения. Фонд обратился в Верховный Суд Российской Федерации с кассационной жалобой, в которой просит принятые по делу судебные акты в части удовлетворения встречного иска отменить, считая их незаконными и необоснованными в указанной части.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суды удовлетворили встречный иск частично, признав факт выполнения обществом работ, переданных заказчику и имеющих для него потребительскую ценность, и просрочку их оплаты. Доводы кассационной жалобы были предметом исследования судов и получили исчерпывающую оценку с учетом установленных обстоятельств, свидетельствующих о том, что сумма выплаченных фондом денежных средств не превышает стоимость выполненных ответчиком работ во время действия контракта,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Санкт-Петербургское государственное казенное учреждение "Фонд капитального строительства и реконструкции" (подробнее) Ответчики: ООО "МВ-ПРОЕКТ"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