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09.12.2019, оставленным без изменения постановлением Четвертого арбитражного апелляционного суда от 19.05.2020, в удовлетворении первоначального иска отказано, встречный иск удовлетворен в части взыскания с общества 150 000 рублей неустойки и 250 000 рублей штрафа, распределены судебные расходы. Постановлением Арбитражного суда Восточно-Сибирского округа от 21.08.2020 указанные судебные акты оставлены без изменения. Общество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обстоятельств в жалобе не приведено.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отказали в удовлетворении первоначального иска, частично удовлетворили встречный иск, признав нарушение обществом условий контракта, при этом размер взыскиваемых заказчиком неустойки за период просрочки и штрафа за неисполнение контракта снижен на основании статьи 333 Гражданского кодекса Российской Федерации. 3 Доводы жалобы повторяют позицию общества по делу, являлись предметом рассмотрения судов и получили исчерпывающую правовую оценку с учетом отсутствия доказательств поставки товара в соответствии с условиями контракта,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заявленные ходатайства об участии в судебном заседании путем использования систем видеоконференц-связи, о приостановлении исполнения судебных актов на основании части 3 статьи 291.6 Арбитражного процессуального кодекса Российской Федерации, не подлежат удовлетворению.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