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13.02.2020, оставленным без изменения постановлением Семнадцатого арбитражного апелляционного суда от 22.05.2020, общество привлечено к административной 2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предупреждения. Постановлением Арбитражного суда Уральского округа от 17.09.2020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Закона РФ от 11.03.1992 № 2487-1 «О частной детективной и охранной деятельности в Российской Федерации», Федерального закона от 04.05.2011 №99-ФЗ «О лицензировании отдельных видов деятельности», Положения о лицензировании частной охранной деятельности, утвержденного постановлением Правительства Российской Федерации от 23.06.2011 № 498,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 при установленных обстоятельствах неиспользования работниками частной охранной организации средств защиты при осуществлении охраны объектов. 3 Доводы жалобы являлись предметом рассмотрения судов и подлежат отклонению применительно к обстоятельствам вмененного правонарушения, положениям пункта 23 части 3.1 статьи 1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сферы распространения действия Закона РФ от 11.03.1992 № 2487-1 «О частной детективной и охранной деятельности в Российской Федерации».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