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«ТранзитАвто» (экспедитор) обратилось в Арбитражный суд города Москвы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«Русские Автобусы - Группа ГАЗ» (заказчика) 7 604 240 рублей 49 копеек задолженности по договору транспортной экспедиции от 02.04.2018 № 52/05/18-008 и 422 397 рублей 63 копеек процентов за пользование чужими денежными средствами. Судом принят встречный иск, уточненный в порядке статьи 49 Арбитражного процессуального кодекса Российской Федерации, общества с ограниченной ответственностью «Русские Автобусы - Группа ГАЗ» о взыскании с общества с ограниченной ответственностью «ТранзитАвто» 11 963 525 рублей 35 копеек убытков. Решением Арбитражного суда города Москвы от 10.02.2020 первоначальный и встречный иски удовлетворены. В результате зачета с 2 общества с ограниченной ответственностью «ТранзитАвто» в пользу общества с ограниченной ответственностью «Русские Автобусы - Группа ГАЗ» взыскано 3 936 887 рублей 23 копейки убытков. Постановлением Девятого арбитражного апелляционного суда от 20.07.2020 решение суда первой инстанции оставлено без изменения. Арбитражный суд Московского округа постановлением от 14.10.2020 указанные судебные акты оставил без изменения. Общество с ограниченной ответственностью «ТранзитАвто» обратилось в Судебную коллегию Верховного Суда Российской Федерации с кассационной жалобой на принятые по делу судебные акты в части удовлетворения встречного иска,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Удовлетворяя первоначальный иск, суды исходили из доказанности факта оказания услуг и признания задолженности ответчиком – заказчиком. Установив, что в стоимость услуг экспедитора входила стоимость страхования гражданской ответственности владельца транспортного средства (ОСАГО) и страхование КАСКО на перегоняемые транспортные средства, обязательства экспедитора по страхованию надлежащим образом не исполнены, денежные средства, выплаченные заказчиком для осуществления страхования, не были направлены экспедитором на соответствующие цели, руководствуясь положениями статьи 393 Гражданского кодекса Российской Федерации, суды пришли к выводу об обоснованности встречного иска.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3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«ТранзитАвто»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